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exact"/>
      </w:pPr>
    </w:p>
    <w:p>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北京市杂技学校（北京市国际艺术学校）2023年财政预算信息公开</w:t>
      </w:r>
    </w:p>
    <w:p>
      <w:pPr>
        <w:spacing w:line="240" w:lineRule="exact"/>
        <w:jc w:val="center"/>
        <w:rPr>
          <w:rFonts w:ascii="方正小标宋简体" w:eastAsia="方正小标宋简体"/>
          <w:color w:val="000000"/>
          <w:sz w:val="32"/>
          <w:szCs w:val="32"/>
        </w:rPr>
      </w:pPr>
    </w:p>
    <w:p>
      <w:pPr>
        <w:spacing w:line="560" w:lineRule="exact"/>
        <w:jc w:val="center"/>
        <w:rPr>
          <w:rFonts w:ascii="方正小标宋简体" w:eastAsia="方正小标宋简体"/>
          <w:color w:val="000000"/>
          <w:sz w:val="32"/>
          <w:szCs w:val="32"/>
        </w:rPr>
      </w:pPr>
      <w:r>
        <w:rPr>
          <w:rFonts w:hint="eastAsia" w:ascii="方正小标宋简体" w:eastAsia="方正小标宋简体"/>
          <w:color w:val="000000"/>
          <w:sz w:val="32"/>
          <w:szCs w:val="32"/>
        </w:rPr>
        <w:t>目   录</w:t>
      </w:r>
    </w:p>
    <w:p>
      <w:pPr>
        <w:spacing w:line="240" w:lineRule="exact"/>
        <w:jc w:val="center"/>
        <w:rPr>
          <w:rFonts w:ascii="方正小标宋简体" w:eastAsia="方正小标宋简体"/>
          <w:color w:val="000000"/>
          <w:sz w:val="32"/>
          <w:szCs w:val="32"/>
        </w:rPr>
      </w:pPr>
    </w:p>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第一部分 2023年度单位预算情况说明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一、单位情况说明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二、收入预算情况说明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三、支出预算情况说明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四、财政拨款“三公”经费预算情况说明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五、其他情况说明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六、名词解释</w:t>
      </w:r>
    </w:p>
    <w:p>
      <w:pPr>
        <w:spacing w:line="560" w:lineRule="exact"/>
        <w:rPr>
          <w:rFonts w:ascii="黑体" w:hAnsi="黑体" w:eastAsia="黑体" w:cs="黑体"/>
          <w:color w:val="000000"/>
          <w:sz w:val="32"/>
          <w:szCs w:val="32"/>
        </w:rPr>
      </w:pPr>
      <w:r>
        <w:rPr>
          <w:rFonts w:hint="eastAsia" w:ascii="黑体" w:hAnsi="黑体" w:eastAsia="黑体" w:cs="黑体"/>
          <w:color w:val="000000"/>
          <w:sz w:val="32"/>
          <w:szCs w:val="32"/>
        </w:rPr>
        <w:t>第二部分 2023年度单位预算报表</w:t>
      </w:r>
    </w:p>
    <w:p>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一、收支总表</w:t>
      </w:r>
    </w:p>
    <w:p>
      <w:pPr>
        <w:autoSpaceDE w:val="0"/>
        <w:autoSpaceDN w:val="0"/>
        <w:adjustRightInd w:val="0"/>
        <w:spacing w:line="560" w:lineRule="exact"/>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 xml:space="preserve">    二、收入总表    </w:t>
      </w:r>
    </w:p>
    <w:p>
      <w:pPr>
        <w:autoSpaceDE w:val="0"/>
        <w:autoSpaceDN w:val="0"/>
        <w:adjustRightInd w:val="0"/>
        <w:spacing w:line="560" w:lineRule="exact"/>
        <w:ind w:firstLine="64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三、支出总表</w:t>
      </w:r>
    </w:p>
    <w:p>
      <w:pPr>
        <w:autoSpaceDE w:val="0"/>
        <w:autoSpaceDN w:val="0"/>
        <w:adjustRightInd w:val="0"/>
        <w:spacing w:line="560" w:lineRule="exact"/>
        <w:ind w:firstLine="64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四、项目支出表</w:t>
      </w:r>
    </w:p>
    <w:p>
      <w:pPr>
        <w:autoSpaceDE w:val="0"/>
        <w:autoSpaceDN w:val="0"/>
        <w:adjustRightInd w:val="0"/>
        <w:spacing w:line="560" w:lineRule="exact"/>
        <w:ind w:firstLine="64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五、政府采购预算明细表</w:t>
      </w:r>
    </w:p>
    <w:p>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六、财政拨款收支总表</w:t>
      </w:r>
    </w:p>
    <w:p>
      <w:pPr>
        <w:autoSpaceDE w:val="0"/>
        <w:autoSpaceDN w:val="0"/>
        <w:adjustRightInd w:val="0"/>
        <w:spacing w:line="560" w:lineRule="exact"/>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 xml:space="preserve">    七、一般公共预算财政拨款支出表</w:t>
      </w:r>
    </w:p>
    <w:p>
      <w:pPr>
        <w:autoSpaceDE w:val="0"/>
        <w:autoSpaceDN w:val="0"/>
        <w:adjustRightInd w:val="0"/>
        <w:spacing w:line="560" w:lineRule="exact"/>
        <w:jc w:val="left"/>
        <w:rPr>
          <w:rFonts w:ascii="仿宋_GB2312" w:hAnsi="仿宋_GB2312" w:eastAsia="仿宋_GB2312" w:cs="仿宋_GB2312"/>
          <w:color w:val="000000"/>
          <w:spacing w:val="-16"/>
          <w:kern w:val="0"/>
          <w:sz w:val="32"/>
          <w:szCs w:val="32"/>
          <w:lang w:val="zh-CN"/>
        </w:rPr>
      </w:pPr>
      <w:r>
        <w:rPr>
          <w:rFonts w:hint="eastAsia" w:ascii="仿宋_GB2312" w:hAnsi="仿宋_GB2312" w:eastAsia="仿宋_GB2312" w:cs="仿宋_GB2312"/>
          <w:color w:val="000000"/>
          <w:kern w:val="0"/>
          <w:sz w:val="32"/>
          <w:szCs w:val="32"/>
          <w:lang w:val="zh-CN"/>
        </w:rPr>
        <w:t xml:space="preserve">    </w:t>
      </w:r>
      <w:r>
        <w:rPr>
          <w:rFonts w:hint="eastAsia" w:ascii="仿宋_GB2312" w:hAnsi="仿宋_GB2312" w:eastAsia="仿宋_GB2312" w:cs="仿宋_GB2312"/>
          <w:color w:val="000000"/>
          <w:spacing w:val="-16"/>
          <w:kern w:val="0"/>
          <w:sz w:val="32"/>
          <w:szCs w:val="32"/>
          <w:lang w:val="zh-CN"/>
        </w:rPr>
        <w:t>八、一般公共预算财政拨款基本支出表</w:t>
      </w:r>
    </w:p>
    <w:p>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九、政府性基金预算财政拨款支出表</w:t>
      </w:r>
    </w:p>
    <w:p>
      <w:pPr>
        <w:autoSpaceDE w:val="0"/>
        <w:autoSpaceDN w:val="0"/>
        <w:adjustRightInd w:val="0"/>
        <w:spacing w:line="560" w:lineRule="exact"/>
        <w:ind w:firstLine="640" w:firstLineChars="200"/>
        <w:jc w:val="left"/>
        <w:rPr>
          <w:rFonts w:ascii="仿宋_GB2312" w:hAnsi="仿宋_GB2312" w:eastAsia="仿宋_GB2312" w:cs="仿宋_GB2312"/>
          <w:color w:val="000000"/>
          <w:spacing w:val="-16"/>
          <w:kern w:val="0"/>
          <w:sz w:val="32"/>
          <w:szCs w:val="32"/>
          <w:lang w:val="zh-CN"/>
        </w:rPr>
      </w:pPr>
      <w:r>
        <w:rPr>
          <w:rFonts w:hint="eastAsia" w:ascii="仿宋_GB2312" w:hAnsi="仿宋_GB2312" w:eastAsia="仿宋_GB2312" w:cs="仿宋_GB2312"/>
          <w:color w:val="000000"/>
          <w:kern w:val="0"/>
          <w:sz w:val="32"/>
          <w:szCs w:val="32"/>
          <w:lang w:val="zh-CN"/>
        </w:rPr>
        <w:t>十、国有资本经营预算财政拨款支出表</w:t>
      </w:r>
    </w:p>
    <w:p>
      <w:pPr>
        <w:autoSpaceDE w:val="0"/>
        <w:autoSpaceDN w:val="0"/>
        <w:adjustRightInd w:val="0"/>
        <w:spacing w:line="560" w:lineRule="exact"/>
        <w:ind w:firstLine="576"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spacing w:val="-16"/>
          <w:kern w:val="0"/>
          <w:sz w:val="32"/>
          <w:szCs w:val="32"/>
          <w:lang w:val="zh-CN"/>
        </w:rPr>
        <w:t>十一、财政拨款</w:t>
      </w:r>
      <w:r>
        <w:rPr>
          <w:rFonts w:hint="eastAsia" w:ascii="仿宋_GB2312" w:hAnsi="仿宋_GB2312" w:eastAsia="仿宋_GB2312" w:cs="仿宋_GB2312"/>
          <w:color w:val="000000"/>
          <w:kern w:val="0"/>
          <w:sz w:val="32"/>
          <w:szCs w:val="32"/>
          <w:lang w:val="zh-CN"/>
        </w:rPr>
        <w:t>“三公”经费支出表</w:t>
      </w:r>
    </w:p>
    <w:p>
      <w:pPr>
        <w:autoSpaceDE w:val="0"/>
        <w:autoSpaceDN w:val="0"/>
        <w:adjustRightInd w:val="0"/>
        <w:spacing w:line="560" w:lineRule="exact"/>
        <w:ind w:firstLine="568" w:firstLineChars="200"/>
        <w:jc w:val="left"/>
        <w:rPr>
          <w:rFonts w:ascii="仿宋_GB2312" w:hAnsi="仿宋_GB2312" w:eastAsia="仿宋_GB2312" w:cs="仿宋_GB2312"/>
          <w:color w:val="000000"/>
          <w:spacing w:val="-18"/>
          <w:kern w:val="0"/>
          <w:sz w:val="32"/>
          <w:szCs w:val="32"/>
          <w:lang w:val="zh-CN"/>
        </w:rPr>
      </w:pPr>
      <w:r>
        <w:rPr>
          <w:rFonts w:hint="eastAsia" w:ascii="仿宋_GB2312" w:hAnsi="仿宋_GB2312" w:eastAsia="仿宋_GB2312" w:cs="仿宋_GB2312"/>
          <w:color w:val="000000"/>
          <w:spacing w:val="-18"/>
          <w:kern w:val="0"/>
          <w:sz w:val="32"/>
          <w:szCs w:val="32"/>
          <w:lang w:val="zh-CN"/>
        </w:rPr>
        <w:t>十二、政府购买服务预算财政拨款明细表</w:t>
      </w:r>
    </w:p>
    <w:p>
      <w:pPr>
        <w:autoSpaceDE w:val="0"/>
        <w:autoSpaceDN w:val="0"/>
        <w:adjustRightInd w:val="0"/>
        <w:spacing w:line="560" w:lineRule="exact"/>
        <w:ind w:firstLine="640" w:firstLineChars="200"/>
        <w:jc w:val="left"/>
        <w:rPr>
          <w:rFonts w:ascii="仿宋_GB2312" w:hAnsi="仿宋_GB2312" w:eastAsia="仿宋_GB2312" w:cs="仿宋_GB2312"/>
          <w:color w:val="000000"/>
          <w:kern w:val="0"/>
          <w:sz w:val="32"/>
          <w:szCs w:val="32"/>
          <w:lang w:val="zh-CN"/>
        </w:rPr>
      </w:pPr>
      <w:r>
        <w:rPr>
          <w:rFonts w:hint="eastAsia" w:ascii="仿宋_GB2312" w:hAnsi="仿宋_GB2312" w:eastAsia="仿宋_GB2312" w:cs="仿宋_GB2312"/>
          <w:color w:val="000000"/>
          <w:kern w:val="0"/>
          <w:sz w:val="32"/>
          <w:szCs w:val="32"/>
          <w:lang w:val="zh-CN"/>
        </w:rPr>
        <w:t>十三、项目支出绩效目标表</w:t>
      </w:r>
    </w:p>
    <w:p>
      <w:pPr>
        <w:spacing w:line="560" w:lineRule="exact"/>
        <w:jc w:val="center"/>
        <w:rPr>
          <w:rFonts w:ascii="仿宋_GB2312" w:hAnsi="仿宋_GB2312" w:eastAsia="仿宋_GB2312" w:cs="仿宋_GB2312"/>
          <w:color w:val="000000"/>
          <w:sz w:val="36"/>
          <w:szCs w:val="36"/>
        </w:rPr>
      </w:pPr>
    </w:p>
    <w:p>
      <w:pPr>
        <w:spacing w:line="560" w:lineRule="exact"/>
        <w:jc w:val="center"/>
        <w:rPr>
          <w:rFonts w:ascii="仿宋_GB2312" w:hAnsi="仿宋_GB2312" w:eastAsia="仿宋_GB2312" w:cs="仿宋_GB2312"/>
          <w:color w:val="000000"/>
          <w:sz w:val="36"/>
          <w:szCs w:val="36"/>
        </w:rPr>
      </w:pPr>
    </w:p>
    <w:p>
      <w:pPr>
        <w:spacing w:line="560" w:lineRule="exact"/>
        <w:jc w:val="center"/>
        <w:rPr>
          <w:rFonts w:ascii="仿宋_GB2312" w:hAnsi="仿宋_GB2312" w:eastAsia="仿宋_GB2312" w:cs="仿宋_GB2312"/>
          <w:color w:val="000000"/>
          <w:sz w:val="36"/>
          <w:szCs w:val="36"/>
        </w:rPr>
      </w:pPr>
    </w:p>
    <w:p>
      <w:pPr>
        <w:spacing w:line="560" w:lineRule="exact"/>
        <w:jc w:val="center"/>
        <w:rPr>
          <w:rFonts w:ascii="仿宋_GB2312" w:hAnsi="仿宋_GB2312" w:eastAsia="仿宋_GB2312" w:cs="仿宋_GB2312"/>
          <w:color w:val="000000"/>
          <w:sz w:val="36"/>
          <w:szCs w:val="36"/>
        </w:rPr>
      </w:pPr>
    </w:p>
    <w:p>
      <w:pPr>
        <w:spacing w:line="560" w:lineRule="exact"/>
        <w:jc w:val="center"/>
        <w:rPr>
          <w:rFonts w:ascii="仿宋_GB2312" w:hAnsi="仿宋_GB2312" w:eastAsia="仿宋_GB2312" w:cs="仿宋_GB2312"/>
          <w:color w:val="000000"/>
          <w:sz w:val="36"/>
          <w:szCs w:val="36"/>
        </w:rPr>
      </w:pPr>
    </w:p>
    <w:p>
      <w:pPr>
        <w:spacing w:line="560" w:lineRule="exact"/>
        <w:jc w:val="center"/>
        <w:rPr>
          <w:rFonts w:ascii="仿宋_GB2312" w:hAnsi="仿宋_GB2312" w:eastAsia="仿宋_GB2312" w:cs="仿宋_GB2312"/>
          <w:color w:val="000000"/>
          <w:sz w:val="36"/>
          <w:szCs w:val="36"/>
        </w:rPr>
      </w:pPr>
    </w:p>
    <w:p>
      <w:pPr>
        <w:spacing w:line="560" w:lineRule="exact"/>
        <w:jc w:val="center"/>
        <w:rPr>
          <w:rFonts w:ascii="仿宋_GB2312" w:hAnsi="仿宋_GB2312" w:eastAsia="仿宋_GB2312" w:cs="仿宋_GB2312"/>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p>
    <w:p>
      <w:pPr>
        <w:spacing w:line="560" w:lineRule="exact"/>
        <w:jc w:val="center"/>
      </w:pPr>
      <w:r>
        <w:rPr>
          <w:rFonts w:hint="eastAsia" w:ascii="方正小标宋简体" w:eastAsia="方正小标宋简体"/>
          <w:color w:val="000000"/>
          <w:sz w:val="36"/>
          <w:szCs w:val="36"/>
        </w:rPr>
        <w:t>第一部分  2023年度单位预算情况说明</w:t>
      </w:r>
    </w:p>
    <w:p>
      <w:pPr>
        <w:spacing w:line="560" w:lineRule="exact"/>
        <w:ind w:firstLine="640" w:firstLineChars="200"/>
        <w:rPr>
          <w:rFonts w:hint="eastAsia" w:ascii="黑体" w:eastAsia="黑体"/>
          <w:color w:val="000000"/>
          <w:sz w:val="32"/>
          <w:szCs w:val="32"/>
        </w:rPr>
      </w:pPr>
      <w:bookmarkStart w:id="1" w:name="_GoBack"/>
      <w:bookmarkEnd w:id="1"/>
    </w:p>
    <w:p>
      <w:pPr>
        <w:spacing w:line="560" w:lineRule="exact"/>
        <w:ind w:firstLine="640" w:firstLineChars="200"/>
        <w:rPr>
          <w:rFonts w:ascii="黑体" w:eastAsia="黑体"/>
          <w:color w:val="000000"/>
          <w:sz w:val="32"/>
          <w:szCs w:val="32"/>
        </w:rPr>
      </w:pPr>
      <w:r>
        <w:rPr>
          <w:rFonts w:hint="eastAsia" w:ascii="黑体" w:eastAsia="黑体"/>
          <w:color w:val="000000"/>
          <w:sz w:val="32"/>
          <w:szCs w:val="32"/>
        </w:rPr>
        <w:t>一、单位情况说明</w:t>
      </w:r>
    </w:p>
    <w:p>
      <w:p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（一）本单位性质、职责等情况</w:t>
      </w:r>
    </w:p>
    <w:p>
      <w:pPr>
        <w:spacing w:line="360" w:lineRule="auto"/>
        <w:ind w:firstLine="566" w:firstLineChars="177"/>
        <w:rPr>
          <w:rFonts w:ascii="仿宋_GB2312" w:eastAsia="仿宋_GB2312"/>
          <w:sz w:val="32"/>
          <w:szCs w:val="32"/>
        </w:rPr>
      </w:pPr>
      <w:r>
        <w:rPr>
          <w:rFonts w:hint="eastAsia" w:ascii="仿宋_GB2312" w:eastAsia="仿宋_GB2312"/>
          <w:sz w:val="32"/>
          <w:szCs w:val="32"/>
        </w:rPr>
        <w:t>1.根据北京市机构编制委员会办公室批准的《关于同意成立北京市杂技学校的函》（京编办事【1998】127号）设立北京市杂技学校。《中共北京市委机构编制委员会关于市文化和旅游局所属事业单位改革有关事项的批复》（京编委【2021】147号）同意将北京市杂技学校（北京市国际艺术学校）整建制划转至北京演艺集团。北京市杂技学校（北京市国际艺术学校）是北京演艺集团有限责任公司所属公益二类事业单位。</w:t>
      </w:r>
    </w:p>
    <w:p>
      <w:pPr>
        <w:tabs>
          <w:tab w:val="left" w:pos="7395"/>
          <w:tab w:val="right" w:pos="8306"/>
        </w:tabs>
        <w:ind w:firstLine="555"/>
        <w:rPr>
          <w:rFonts w:ascii="仿宋_GB2312" w:eastAsia="仿宋_GB2312"/>
          <w:sz w:val="32"/>
          <w:szCs w:val="32"/>
        </w:rPr>
      </w:pPr>
      <w:r>
        <w:rPr>
          <w:rFonts w:hint="eastAsia" w:ascii="仿宋_GB2312" w:eastAsia="仿宋_GB2312"/>
          <w:sz w:val="32"/>
          <w:szCs w:val="32"/>
        </w:rPr>
        <w:t>2、主要职责</w:t>
      </w:r>
      <w:r>
        <w:rPr>
          <w:rFonts w:ascii="仿宋_GB2312" w:eastAsia="仿宋_GB2312"/>
          <w:sz w:val="32"/>
          <w:szCs w:val="32"/>
        </w:rPr>
        <w:tab/>
      </w:r>
      <w:r>
        <w:rPr>
          <w:rFonts w:ascii="仿宋_GB2312" w:eastAsia="仿宋_GB2312"/>
          <w:sz w:val="32"/>
          <w:szCs w:val="32"/>
        </w:rPr>
        <w:tab/>
      </w:r>
    </w:p>
    <w:p>
      <w:pPr>
        <w:tabs>
          <w:tab w:val="left" w:pos="7395"/>
        </w:tabs>
        <w:ind w:firstLine="555"/>
        <w:rPr>
          <w:rFonts w:ascii="仿宋_GB2312" w:eastAsia="仿宋_GB2312"/>
          <w:sz w:val="32"/>
          <w:szCs w:val="32"/>
        </w:rPr>
      </w:pPr>
      <w:r>
        <w:rPr>
          <w:rFonts w:hint="eastAsia" w:ascii="仿宋_GB2312" w:eastAsia="仿宋_GB2312"/>
          <w:sz w:val="32"/>
          <w:szCs w:val="32"/>
        </w:rPr>
        <w:t>北京市杂技学校（北京市国际艺术学校）主要职责是培养中专学历艺术人才，促进杂技艺术事业发展。杂技、魔术、马戏学科中专学历教育；外国留学生培训；杂技艺术培训；相关社会服务。</w:t>
      </w:r>
    </w:p>
    <w:p>
      <w:p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（二）机构设置情况</w:t>
      </w:r>
    </w:p>
    <w:p>
      <w:pPr>
        <w:spacing w:line="360" w:lineRule="auto"/>
        <w:ind w:firstLine="556"/>
        <w:rPr>
          <w:rFonts w:ascii="仿宋_GB2312" w:eastAsia="仿宋_GB2312"/>
          <w:sz w:val="32"/>
          <w:szCs w:val="32"/>
        </w:rPr>
      </w:pPr>
      <w:r>
        <w:rPr>
          <w:rFonts w:hint="eastAsia" w:ascii="仿宋_GB2312" w:eastAsia="仿宋_GB2312"/>
          <w:sz w:val="32"/>
          <w:szCs w:val="32"/>
        </w:rPr>
        <w:t>北京市杂技学校（北京市国际艺术学校）单位内设11个处室，分别是党务行政办公室、人事处、财务处、教学管理中心、学生发展中心、后勤服务中心、舞蹈表演、运动训练（武术）、美术绘画、戏剧表演、杂技与魔术表演。</w:t>
      </w:r>
    </w:p>
    <w:p>
      <w:p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（三）人员编制及实有情况</w:t>
      </w:r>
    </w:p>
    <w:p>
      <w:pPr>
        <w:spacing w:line="560" w:lineRule="exact"/>
        <w:ind w:firstLine="640" w:firstLineChars="200"/>
        <w:rPr>
          <w:rFonts w:ascii="仿宋_GB2312" w:eastAsia="仿宋_GB2312"/>
          <w:color w:val="000000"/>
          <w:sz w:val="32"/>
          <w:szCs w:val="32"/>
        </w:rPr>
      </w:pPr>
      <w:r>
        <w:rPr>
          <w:rFonts w:hint="eastAsia" w:ascii="仿宋_GB2312" w:eastAsia="仿宋_GB2312"/>
          <w:sz w:val="32"/>
          <w:szCs w:val="32"/>
        </w:rPr>
        <w:t>北京市杂技学校（北京市国际艺术学校）</w:t>
      </w:r>
      <w:r>
        <w:rPr>
          <w:rFonts w:hint="eastAsia" w:ascii="仿宋_GB2312" w:eastAsia="仿宋_GB2312"/>
          <w:color w:val="000000"/>
          <w:sz w:val="32"/>
          <w:szCs w:val="32"/>
        </w:rPr>
        <w:t>事业编制160</w:t>
      </w:r>
    </w:p>
    <w:p>
      <w:pPr>
        <w:spacing w:line="560" w:lineRule="exact"/>
        <w:rPr>
          <w:rFonts w:ascii="仿宋_GB2312" w:eastAsia="仿宋_GB2312"/>
          <w:color w:val="000000"/>
          <w:sz w:val="32"/>
          <w:szCs w:val="32"/>
        </w:rPr>
      </w:pPr>
      <w:r>
        <w:rPr>
          <w:rFonts w:hint="eastAsia" w:ascii="仿宋_GB2312" w:eastAsia="仿宋_GB2312"/>
          <w:color w:val="000000"/>
          <w:sz w:val="32"/>
          <w:szCs w:val="32"/>
        </w:rPr>
        <w:t>人，实有人数102人；其他人员58人，其中：</w:t>
      </w:r>
      <w:r>
        <w:rPr>
          <w:rFonts w:hint="eastAsia" w:ascii="仿宋_GB2312" w:eastAsia="仿宋_GB2312"/>
          <w:sz w:val="32"/>
          <w:szCs w:val="32"/>
        </w:rPr>
        <w:t>聘用人员（其他聘用人员）23人，退休人员35人。</w:t>
      </w:r>
    </w:p>
    <w:p>
      <w:pPr>
        <w:spacing w:line="560" w:lineRule="exact"/>
        <w:ind w:firstLine="640" w:firstLineChars="200"/>
        <w:rPr>
          <w:rFonts w:ascii="仿宋_GB2312" w:eastAsia="仿宋_GB2312"/>
          <w:color w:val="000000"/>
          <w:sz w:val="32"/>
          <w:szCs w:val="32"/>
        </w:rPr>
      </w:pPr>
      <w:r>
        <w:rPr>
          <w:rFonts w:hint="eastAsia" w:ascii="黑体" w:eastAsia="黑体"/>
          <w:color w:val="000000"/>
          <w:sz w:val="32"/>
          <w:szCs w:val="32"/>
        </w:rPr>
        <w:t>二、收入预算情况说明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2023年度收入预算</w:t>
      </w:r>
      <w:r>
        <w:rPr>
          <w:rFonts w:ascii="仿宋_GB2312" w:eastAsia="仿宋_GB2312"/>
          <w:sz w:val="32"/>
          <w:szCs w:val="32"/>
        </w:rPr>
        <w:t>6,163.0</w:t>
      </w:r>
      <w:r>
        <w:rPr>
          <w:rFonts w:hint="eastAsia" w:ascii="仿宋_GB2312" w:eastAsia="仿宋_GB2312"/>
          <w:sz w:val="32"/>
          <w:szCs w:val="32"/>
        </w:rPr>
        <w:t>7万元，比2022年年初预算数</w:t>
      </w:r>
      <w:r>
        <w:rPr>
          <w:rFonts w:ascii="仿宋_GB2312" w:eastAsia="仿宋_GB2312"/>
          <w:color w:val="000000"/>
          <w:sz w:val="32"/>
          <w:szCs w:val="32"/>
        </w:rPr>
        <w:t>6,162.09</w:t>
      </w:r>
      <w:r>
        <w:rPr>
          <w:rFonts w:hint="eastAsia" w:ascii="仿宋_GB2312" w:eastAsia="仿宋_GB2312"/>
          <w:sz w:val="32"/>
          <w:szCs w:val="32"/>
        </w:rPr>
        <w:t>万元增加0.98万元，增长0.02%。与2022年年初预算基本持平。</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（一）本年财政拨款收入</w:t>
      </w:r>
      <w:r>
        <w:rPr>
          <w:rFonts w:ascii="楷体_GB2312" w:eastAsia="楷体_GB2312"/>
          <w:sz w:val="32"/>
          <w:szCs w:val="32"/>
        </w:rPr>
        <w:t>5,620.50</w:t>
      </w:r>
      <w:r>
        <w:rPr>
          <w:rFonts w:hint="eastAsia" w:ascii="楷体_GB2312" w:eastAsia="楷体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1.一般公共预算拨款收入</w:t>
      </w:r>
      <w:r>
        <w:rPr>
          <w:rFonts w:ascii="楷体_GB2312" w:eastAsia="楷体_GB2312"/>
          <w:sz w:val="32"/>
          <w:szCs w:val="32"/>
        </w:rPr>
        <w:t>5,620.50</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2.政府性基金预算拨款收入0.00万元。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3.国有资本经营预算拨款收入0.00万元。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（二）本年其他资金收入542.57万元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4.财政专户管理资金收入353.72万元。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5.事业收入0.00万元。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6.上级补助收入0.00万元。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7.附属单位上缴收入0.00万元。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8.事业单位经营收入12.30万元。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9.其他收入176.55万元。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（三）上年结转结余0.00万元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10.上年结转结余0.00万元。</w:t>
      </w:r>
    </w:p>
    <w:p>
      <w:pPr>
        <w:pStyle w:val="2"/>
        <w:jc w:val="center"/>
        <w:rPr>
          <w:rFonts w:ascii="仿宋_GB2312" w:eastAsia="仿宋_GB2312"/>
          <w:sz w:val="32"/>
        </w:rPr>
      </w:pPr>
      <w:r>
        <w:rPr>
          <w:rFonts w:hint="eastAsia" w:ascii="仿宋_GB2312" w:eastAsia="仿宋_GB2312"/>
          <w:sz w:val="32"/>
        </w:rPr>
        <w:t>图1：收入预算</w:t>
      </w:r>
    </w:p>
    <w:p>
      <w:pPr>
        <w:jc w:val="center"/>
      </w:pPr>
      <w:r>
        <w:drawing>
          <wp:inline distT="0" distB="0" distL="0" distR="0">
            <wp:extent cx="4572000" cy="2743200"/>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jc w:val="center"/>
      </w:pPr>
    </w:p>
    <w:p>
      <w:pPr>
        <w:spacing w:line="560" w:lineRule="exact"/>
        <w:ind w:firstLine="640" w:firstLineChars="200"/>
        <w:rPr>
          <w:rFonts w:ascii="黑体" w:eastAsia="黑体"/>
          <w:sz w:val="32"/>
          <w:szCs w:val="32"/>
        </w:rPr>
      </w:pPr>
      <w:r>
        <w:rPr>
          <w:rFonts w:hint="eastAsia" w:ascii="黑体" w:eastAsia="黑体"/>
          <w:sz w:val="32"/>
          <w:szCs w:val="32"/>
        </w:rPr>
        <w:t>三、支出预算情况说明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2023年支出预算</w:t>
      </w:r>
      <w:r>
        <w:rPr>
          <w:rFonts w:ascii="仿宋_GB2312" w:eastAsia="仿宋_GB2312"/>
          <w:sz w:val="32"/>
          <w:szCs w:val="32"/>
        </w:rPr>
        <w:t>6,163.0</w:t>
      </w:r>
      <w:r>
        <w:rPr>
          <w:rFonts w:hint="eastAsia" w:ascii="仿宋_GB2312" w:eastAsia="仿宋_GB2312"/>
          <w:sz w:val="32"/>
          <w:szCs w:val="32"/>
        </w:rPr>
        <w:t>7万元，比2022年年初预算数</w:t>
      </w:r>
      <w:r>
        <w:rPr>
          <w:rFonts w:ascii="仿宋_GB2312" w:eastAsia="仿宋_GB2312" w:cs="Times New Roman"/>
          <w:sz w:val="32"/>
          <w:szCs w:val="32"/>
        </w:rPr>
        <w:t>6162.09</w:t>
      </w:r>
      <w:r>
        <w:rPr>
          <w:rFonts w:hint="eastAsia" w:ascii="仿宋_GB2312" w:eastAsia="仿宋_GB2312"/>
          <w:sz w:val="32"/>
          <w:szCs w:val="32"/>
        </w:rPr>
        <w:t>万元增加0.98万元，增长0.02%。与2022年年初预算基本持平。</w:t>
      </w:r>
    </w:p>
    <w:p>
      <w:pPr>
        <w:spacing w:line="560" w:lineRule="exact"/>
        <w:ind w:firstLine="640" w:firstLineChars="200"/>
        <w:rPr>
          <w:rFonts w:ascii="仿宋_GB2312" w:eastAsia="仿宋_GB2312"/>
          <w:color w:val="000000"/>
          <w:sz w:val="32"/>
          <w:szCs w:val="32"/>
        </w:rPr>
      </w:pPr>
      <w:r>
        <w:rPr>
          <w:rFonts w:hint="eastAsia" w:ascii="楷体_GB2312" w:hAnsi="楷体_GB2312" w:eastAsia="楷体_GB2312" w:cs="楷体_GB2312"/>
          <w:sz w:val="32"/>
          <w:szCs w:val="32"/>
        </w:rPr>
        <w:t>(一)基本支出。</w:t>
      </w:r>
      <w:r>
        <w:rPr>
          <w:rFonts w:hint="eastAsia" w:ascii="仿宋_GB2312" w:eastAsia="仿宋_GB2312"/>
          <w:sz w:val="32"/>
          <w:szCs w:val="32"/>
        </w:rPr>
        <w:t>基本支出预算</w:t>
      </w:r>
      <w:r>
        <w:rPr>
          <w:rFonts w:ascii="仿宋_GB2312" w:eastAsia="仿宋_GB2312"/>
          <w:sz w:val="32"/>
          <w:szCs w:val="32"/>
        </w:rPr>
        <w:t>5,669.02</w:t>
      </w:r>
      <w:r>
        <w:rPr>
          <w:rFonts w:hint="eastAsia" w:ascii="仿宋_GB2312" w:eastAsia="仿宋_GB2312"/>
          <w:sz w:val="32"/>
          <w:szCs w:val="32"/>
        </w:rPr>
        <w:t>万元，占总支出预算91.98%，比2022年年初预算数</w:t>
      </w:r>
      <w:r>
        <w:rPr>
          <w:rFonts w:ascii="仿宋_GB2312" w:eastAsia="仿宋_GB2312"/>
          <w:sz w:val="32"/>
          <w:szCs w:val="32"/>
        </w:rPr>
        <w:t>5647.9</w:t>
      </w:r>
      <w:r>
        <w:rPr>
          <w:rFonts w:hint="eastAsia" w:ascii="仿宋_GB2312" w:eastAsia="仿宋_GB2312"/>
          <w:sz w:val="32"/>
          <w:szCs w:val="32"/>
        </w:rPr>
        <w:t>0万元增加21.12万元，增长0.37%。主要原因是</w:t>
      </w:r>
      <w:r>
        <w:rPr>
          <w:rFonts w:hint="eastAsia" w:ascii="仿宋_GB2312" w:eastAsia="仿宋_GB2312"/>
          <w:color w:val="000000"/>
          <w:sz w:val="32"/>
          <w:szCs w:val="32"/>
        </w:rPr>
        <w:t>单位统筹</w:t>
      </w:r>
      <w:r>
        <w:rPr>
          <w:rFonts w:ascii="仿宋_GB2312" w:eastAsia="仿宋_GB2312"/>
          <w:color w:val="000000"/>
          <w:sz w:val="32"/>
          <w:szCs w:val="32"/>
        </w:rPr>
        <w:t>使用</w:t>
      </w:r>
      <w:r>
        <w:rPr>
          <w:rFonts w:hint="eastAsia" w:ascii="仿宋_GB2312" w:eastAsia="仿宋_GB2312"/>
          <w:sz w:val="32"/>
          <w:szCs w:val="32"/>
        </w:rPr>
        <w:t>财政专户管理资金</w:t>
      </w:r>
      <w:r>
        <w:rPr>
          <w:rFonts w:ascii="仿宋_GB2312" w:eastAsia="仿宋_GB2312"/>
          <w:color w:val="000000"/>
          <w:sz w:val="32"/>
          <w:szCs w:val="32"/>
        </w:rPr>
        <w:t>安排</w:t>
      </w:r>
      <w:r>
        <w:rPr>
          <w:rFonts w:hint="eastAsia" w:ascii="仿宋_GB2312" w:eastAsia="仿宋_GB2312"/>
          <w:color w:val="000000"/>
          <w:sz w:val="32"/>
          <w:szCs w:val="32"/>
        </w:rPr>
        <w:t>基本支出有所增加。</w:t>
      </w:r>
    </w:p>
    <w:p>
      <w:pPr>
        <w:spacing w:line="560" w:lineRule="exact"/>
        <w:ind w:firstLine="640"/>
        <w:rPr>
          <w:rFonts w:ascii="仿宋_GB2312" w:eastAsia="仿宋_GB2312"/>
          <w:sz w:val="32"/>
          <w:szCs w:val="32"/>
        </w:rPr>
      </w:pPr>
      <w:r>
        <w:rPr>
          <w:rFonts w:hint="eastAsia" w:ascii="楷体_GB2312" w:hAnsi="楷体_GB2312" w:eastAsia="楷体_GB2312" w:cs="楷体_GB2312"/>
          <w:sz w:val="32"/>
          <w:szCs w:val="32"/>
        </w:rPr>
        <w:t>（二）项目支出。</w:t>
      </w:r>
      <w:r>
        <w:rPr>
          <w:rFonts w:hint="eastAsia" w:ascii="仿宋_GB2312" w:eastAsia="仿宋_GB2312"/>
          <w:sz w:val="32"/>
          <w:szCs w:val="32"/>
        </w:rPr>
        <w:t>项目支出预算494.05万元，比2022年年初预算数514.19万元减少20.14万元，下降3.92%。主要原因是落实勤俭节约要求，</w:t>
      </w:r>
      <w:r>
        <w:rPr>
          <w:rFonts w:ascii="仿宋_GB2312" w:eastAsia="仿宋_GB2312"/>
          <w:sz w:val="32"/>
          <w:szCs w:val="32"/>
        </w:rPr>
        <w:t>减少</w:t>
      </w:r>
      <w:r>
        <w:rPr>
          <w:rFonts w:hint="eastAsia" w:ascii="仿宋_GB2312" w:eastAsia="仿宋_GB2312"/>
          <w:sz w:val="32"/>
          <w:szCs w:val="32"/>
        </w:rPr>
        <w:t>项目</w:t>
      </w:r>
      <w:r>
        <w:rPr>
          <w:rFonts w:ascii="仿宋_GB2312" w:eastAsia="仿宋_GB2312"/>
          <w:sz w:val="32"/>
          <w:szCs w:val="32"/>
        </w:rPr>
        <w:t>资金规模</w:t>
      </w:r>
      <w:r>
        <w:rPr>
          <w:rFonts w:hint="eastAsia" w:ascii="仿宋_GB2312" w:eastAsia="仿宋_GB2312"/>
          <w:sz w:val="32"/>
          <w:szCs w:val="32"/>
        </w:rPr>
        <w:t>。其中：</w:t>
      </w:r>
    </w:p>
    <w:p>
      <w:pPr>
        <w:spacing w:line="560" w:lineRule="exact"/>
        <w:ind w:firstLine="640"/>
        <w:rPr>
          <w:rFonts w:ascii="仿宋_GB2312" w:eastAsia="仿宋_GB2312"/>
          <w:sz w:val="32"/>
          <w:szCs w:val="32"/>
        </w:rPr>
      </w:pPr>
      <w:r>
        <w:rPr>
          <w:rFonts w:hint="eastAsia" w:ascii="仿宋_GB2312" w:eastAsia="仿宋_GB2312"/>
          <w:sz w:val="32"/>
          <w:szCs w:val="32"/>
        </w:rPr>
        <w:t>1.事业单位经营支出0.00万元。</w:t>
      </w:r>
    </w:p>
    <w:p>
      <w:pPr>
        <w:spacing w:line="560" w:lineRule="exact"/>
        <w:ind w:firstLine="640"/>
        <w:rPr>
          <w:rFonts w:ascii="仿宋_GB2312" w:eastAsia="仿宋_GB2312"/>
          <w:sz w:val="32"/>
          <w:szCs w:val="32"/>
        </w:rPr>
      </w:pPr>
      <w:r>
        <w:rPr>
          <w:rFonts w:hint="eastAsia" w:ascii="仿宋_GB2312" w:eastAsia="仿宋_GB2312"/>
          <w:sz w:val="32"/>
          <w:szCs w:val="32"/>
        </w:rPr>
        <w:t>2.上缴上级支出0.00万元。</w:t>
      </w:r>
    </w:p>
    <w:p>
      <w:pPr>
        <w:spacing w:line="560" w:lineRule="exact"/>
        <w:ind w:firstLine="640"/>
        <w:rPr>
          <w:rFonts w:ascii="仿宋_GB2312" w:eastAsia="仿宋_GB2312"/>
          <w:sz w:val="32"/>
          <w:szCs w:val="32"/>
        </w:rPr>
      </w:pPr>
      <w:r>
        <w:rPr>
          <w:rFonts w:hint="eastAsia" w:ascii="仿宋_GB2312" w:eastAsia="仿宋_GB2312"/>
          <w:sz w:val="32"/>
          <w:szCs w:val="32"/>
        </w:rPr>
        <w:t>3.对附属单位补助支出0.00万元。</w:t>
      </w:r>
    </w:p>
    <w:p>
      <w:pPr>
        <w:pStyle w:val="2"/>
        <w:ind w:firstLine="642"/>
        <w:jc w:val="center"/>
        <w:rPr>
          <w:rFonts w:ascii="仿宋_GB2312" w:eastAsia="仿宋_GB2312"/>
          <w:sz w:val="32"/>
        </w:rPr>
      </w:pPr>
      <w:r>
        <w:rPr>
          <w:rFonts w:hint="eastAsia" w:ascii="仿宋_GB2312" w:eastAsia="仿宋_GB2312"/>
          <w:sz w:val="32"/>
        </w:rPr>
        <w:t>图2：基本支出和项目支出情况</w:t>
      </w:r>
    </w:p>
    <w:p>
      <w:pPr>
        <w:jc w:val="center"/>
      </w:pPr>
      <w:r>
        <w:drawing>
          <wp:inline distT="0" distB="0" distL="0" distR="0">
            <wp:extent cx="4572000" cy="2743200"/>
            <wp:effectExtent l="19050" t="0" r="190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jc w:val="center"/>
      </w:pPr>
    </w:p>
    <w:p>
      <w:pPr>
        <w:spacing w:line="560" w:lineRule="exact"/>
        <w:ind w:firstLine="640" w:firstLineChars="200"/>
        <w:rPr>
          <w:rFonts w:ascii="黑体" w:eastAsia="黑体"/>
          <w:sz w:val="32"/>
          <w:szCs w:val="32"/>
        </w:rPr>
      </w:pPr>
      <w:r>
        <w:rPr>
          <w:rFonts w:hint="eastAsia" w:ascii="黑体" w:eastAsia="黑体"/>
          <w:sz w:val="32"/>
          <w:szCs w:val="32"/>
        </w:rPr>
        <w:t>四、财政拨款“三公”经费预算情况说明</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（一）“三公”经费的单位范围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北京市杂技学校（北京市国际艺术学校）因公出国（境）费用、公务接待费、公务用车购置和运行维护费开支单位包括0个所属单位。其他所属单位2023年无财政拨款安排的“三公”经费预算。</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（二）财政拨款“三公”经费预算情况说明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2023年财政拨款“三公”经费预算3.70万元，比2022年财政拨款“三公”经费预算减少6.30万元。其中：</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1.因公出国（境）费用。本单位2023年无财政拨款安排的因公出国（境）费用预算。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2.公务接待费。本单位2023年无财政拨款安排的公务接待费预算。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公务用车购置和运行维护费。2023年预算数3.70万元，其中，公务用车购置费2023年预算数0.00万元，本单位2023年无财政拨款安排的公务用车购置费预算；公务用车运行维护费2023年预算数3.70万元，其中：公务用车燃油0.00万元，公务用车维修1.70万元，公务用车保险1.70万元，其他支出0.30万元。公务用车运行维护费2023年预算数比2022年年初预算数10.00万元减少6.30万元。主要原因：落实政府“过紧日子”要求，进一步压减一般性支出。</w:t>
      </w:r>
    </w:p>
    <w:p>
      <w:pPr>
        <w:spacing w:line="560" w:lineRule="exact"/>
        <w:ind w:firstLine="640" w:firstLineChars="200"/>
        <w:rPr>
          <w:rFonts w:ascii="黑体" w:eastAsia="黑体"/>
          <w:sz w:val="32"/>
          <w:szCs w:val="32"/>
        </w:rPr>
      </w:pPr>
      <w:r>
        <w:rPr>
          <w:rFonts w:hint="eastAsia" w:ascii="黑体" w:eastAsia="黑体"/>
          <w:sz w:val="32"/>
          <w:szCs w:val="32"/>
        </w:rPr>
        <w:t>五、其他情况说明</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（一）政府采购预算说明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2023年北京市杂技学校（北京市国际艺术学校）政府采购预算总额535.40万元，其中：政府采购货物预算7.00万元，政府采购工程预算0.00万元，政府采购服务预算528.40万元。</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（二）政府购买服务预算说明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本单位2023年无政府购买服务预算。</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（三）机关运行经费说明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我单位不在机关运行经费统计范围之内。</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（四）项目支出绩效目标情况说明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2023年，北京市杂技学校（北京市国际艺术学校）填报绩效目标的预算项目10个，占本单位本年预算项目10个的100%。填报绩效目标的项目支出预算494.05万元，占本单位本年项目支出预算的100%。</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（五）重点行政事业性收费情况说明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本单位2023年无重点行政事业性收费。</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（六）国有资本经营预算财政拨款情况说明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本单位2023年无国有资本经营预算财政拨款安排的预算。</w:t>
      </w:r>
    </w:p>
    <w:p>
      <w:pPr>
        <w:spacing w:line="560" w:lineRule="exact"/>
        <w:ind w:firstLine="640" w:firstLineChars="200"/>
        <w:rPr>
          <w:rFonts w:ascii="楷体_GB2312" w:eastAsia="楷体_GB2312"/>
          <w:color w:val="000000"/>
          <w:sz w:val="32"/>
          <w:szCs w:val="32"/>
        </w:rPr>
      </w:pPr>
      <w:r>
        <w:rPr>
          <w:rFonts w:hint="eastAsia" w:ascii="楷体_GB2312" w:eastAsia="楷体_GB2312"/>
          <w:color w:val="000000"/>
          <w:sz w:val="32"/>
          <w:szCs w:val="32"/>
        </w:rPr>
        <w:t>（七）国有资产占用情况说明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截至2022年底，</w:t>
      </w:r>
      <w:r>
        <w:rPr>
          <w:rFonts w:hint="eastAsia" w:ascii="仿宋_GB2312" w:eastAsia="仿宋_GB2312"/>
          <w:sz w:val="32"/>
          <w:szCs w:val="32"/>
        </w:rPr>
        <w:t>北京市杂技学校（北京市国际艺术学校）</w:t>
      </w:r>
      <w:r>
        <w:rPr>
          <w:rFonts w:hint="eastAsia" w:ascii="仿宋_GB2312" w:eastAsia="仿宋_GB2312"/>
          <w:color w:val="000000"/>
          <w:sz w:val="32"/>
          <w:szCs w:val="32"/>
        </w:rPr>
        <w:t>共有车辆15台，共计454.53万元；单位价值50万元以上的通用设备5台（套），共计508.63万元，单位价值100万元以上的专用设备7台（套）、共计1217.09万元。</w:t>
      </w:r>
    </w:p>
    <w:p>
      <w:pPr>
        <w:spacing w:line="560" w:lineRule="exact"/>
        <w:ind w:firstLine="640" w:firstLineChars="200"/>
        <w:rPr>
          <w:rFonts w:ascii="仿宋_GB2312" w:eastAsia="仿宋_GB2312"/>
          <w:color w:val="000000"/>
          <w:sz w:val="32"/>
          <w:szCs w:val="32"/>
        </w:rPr>
      </w:pPr>
      <w:r>
        <w:rPr>
          <w:rFonts w:hint="eastAsia" w:ascii="黑体" w:eastAsia="黑体"/>
          <w:color w:val="000000"/>
          <w:sz w:val="32"/>
          <w:szCs w:val="32"/>
        </w:rPr>
        <w:t>六、名词解释</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项目支出：指在基本支出之外为完成特定行政任务或事业发展目标所发生的支出。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“三公”经费财政拨款预算数：指本单位当年单位预算安排的因公出国（境）费用、公务接待费、公务用车购置和运行维护费预算数。</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机关运行经费：指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政府采购：各级国家机关、事业单位和团体组织，使用财政性资金采购依法制定的集中采购目录以内的或者采购限额标准以上的货物、工程和服务的行为，是规范财政支出管理和强化预算约束的有效措施。</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政府购买服务：是指各级国家机关将属于自身职责范围且适合通过市场化方式提供的服务事项，按照政府采购方式和程序，交由符合条件的服务供应商承担，并根据服务数量和质量等因素向其支付费用的行为。</w:t>
      </w:r>
    </w:p>
    <w:p>
      <w:pPr>
        <w:spacing w:line="560" w:lineRule="exact"/>
        <w:jc w:val="center"/>
        <w:rPr>
          <w:rFonts w:ascii="方正小标宋简体" w:eastAsia="方正小标宋简体"/>
          <w:color w:val="000000"/>
          <w:sz w:val="36"/>
          <w:szCs w:val="36"/>
        </w:rPr>
      </w:pPr>
    </w:p>
    <w:p>
      <w:pPr>
        <w:spacing w:line="560" w:lineRule="exact"/>
        <w:jc w:val="center"/>
        <w:rPr>
          <w:rFonts w:ascii="方正小标宋简体" w:eastAsia="方正小标宋简体"/>
          <w:color w:val="000000"/>
          <w:sz w:val="36"/>
          <w:szCs w:val="36"/>
        </w:rPr>
      </w:pPr>
      <w:r>
        <w:rPr>
          <w:rFonts w:hint="eastAsia" w:ascii="方正小标宋简体" w:eastAsia="方正小标宋简体"/>
          <w:color w:val="000000"/>
          <w:sz w:val="36"/>
          <w:szCs w:val="36"/>
        </w:rPr>
        <w:t>第二部分  2023年度单位预算报表</w:t>
      </w:r>
    </w:p>
    <w:p>
      <w:pPr>
        <w:autoSpaceDE w:val="0"/>
        <w:autoSpaceDN w:val="0"/>
        <w:adjustRightInd w:val="0"/>
        <w:spacing w:line="560" w:lineRule="exact"/>
        <w:jc w:val="left"/>
        <w:rPr>
          <w:rFonts w:ascii="方正小标宋简体" w:eastAsia="方正小标宋简体"/>
          <w:color w:val="000000"/>
          <w:sz w:val="36"/>
          <w:szCs w:val="36"/>
        </w:rPr>
      </w:pPr>
    </w:p>
    <w:p>
      <w:pPr>
        <w:spacing w:line="560" w:lineRule="exact"/>
        <w:rPr>
          <w:rFonts w:ascii="仿宋_GB2312" w:eastAsia="仿宋_GB2312"/>
          <w:color w:val="000000"/>
          <w:sz w:val="32"/>
          <w:szCs w:val="32"/>
        </w:rPr>
      </w:pPr>
      <w:r>
        <w:rPr>
          <w:rFonts w:hint="eastAsia" w:ascii="仿宋_GB2312" w:eastAsia="仿宋_GB2312"/>
          <w:color w:val="000000"/>
          <w:sz w:val="32"/>
          <w:szCs w:val="32"/>
        </w:rPr>
        <w:t>附件：</w:t>
      </w:r>
      <w:r>
        <w:rPr>
          <w:rFonts w:hint="eastAsia" w:ascii="仿宋_GB2312" w:eastAsia="仿宋_GB2312"/>
          <w:sz w:val="32"/>
          <w:szCs w:val="32"/>
        </w:rPr>
        <w:t>北京市杂技学校（北京市国际艺术学校）</w:t>
      </w:r>
      <w:r>
        <w:rPr>
          <w:rFonts w:hint="eastAsia" w:ascii="仿宋_GB2312" w:eastAsia="仿宋_GB2312"/>
          <w:color w:val="000000"/>
          <w:sz w:val="32"/>
          <w:szCs w:val="32"/>
        </w:rPr>
        <w:t>2023年度单位预算报表</w:t>
      </w:r>
      <w:r>
        <w:rPr>
          <w:rFonts w:hint="eastAsia" w:ascii="仿宋_GB2312" w:eastAsia="仿宋_GB2312" w:cs="宋体"/>
          <w:color w:val="000000"/>
          <w:kern w:val="0"/>
          <w:sz w:val="32"/>
          <w:szCs w:val="32"/>
          <w:lang w:val="zh-CN"/>
        </w:rPr>
        <w:t>（见</w:t>
      </w:r>
      <w:r>
        <w:rPr>
          <w:rFonts w:ascii="仿宋_GB2312" w:eastAsia="仿宋_GB2312" w:cs="宋体"/>
          <w:color w:val="000000"/>
          <w:kern w:val="0"/>
          <w:sz w:val="32"/>
          <w:szCs w:val="32"/>
          <w:lang w:val="zh-CN"/>
        </w:rPr>
        <w:t>附表</w:t>
      </w:r>
      <w:r>
        <w:rPr>
          <w:rFonts w:hint="eastAsia" w:ascii="仿宋_GB2312" w:eastAsia="仿宋_GB2312" w:cs="宋体"/>
          <w:color w:val="000000"/>
          <w:kern w:val="0"/>
          <w:sz w:val="32"/>
          <w:szCs w:val="32"/>
          <w:lang w:val="zh-CN"/>
        </w:rPr>
        <w:t>）</w:t>
      </w:r>
    </w:p>
    <w:p>
      <w:pPr>
        <w:spacing w:line="560" w:lineRule="exact"/>
        <w:rPr>
          <w:rFonts w:ascii="仿宋_GB2312" w:eastAsia="仿宋_GB2312"/>
          <w:color w:val="000000"/>
          <w:sz w:val="32"/>
          <w:szCs w:val="32"/>
        </w:rPr>
      </w:pPr>
    </w:p>
    <w:p>
      <w:pPr>
        <w:rPr>
          <w:rFonts w:ascii="仿宋_GB2312" w:eastAsia="仿宋_GB2312"/>
          <w:sz w:val="32"/>
          <w:szCs w:val="32"/>
        </w:rPr>
      </w:pPr>
      <w:bookmarkStart w:id="0" w:name="chaosong"/>
      <w:bookmarkEnd w:id="0"/>
    </w:p>
    <w:p/>
    <w:sectPr>
      <w:footerReference r:id="rId5" w:type="default"/>
      <w:pgSz w:w="11906" w:h="16838"/>
      <w:pgMar w:top="1440" w:right="1800" w:bottom="1440" w:left="1800"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Droid Sans">
    <w:altName w:val="微软雅黑"/>
    <w:panose1 w:val="00000000000000000000"/>
    <w:charset w:val="00"/>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szCs w:val="28"/>
      </w:rPr>
    </w:pPr>
    <w:r>
      <w:rPr>
        <w:sz w:val="28"/>
      </w:rPr>
      <w:pict>
        <v:shape id="_x0000_s1025"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4"/>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txbxContent>
          </v:textbox>
        </v:shape>
      </w:pict>
    </w:r>
  </w:p>
  <w:p>
    <w:pPr>
      <w:pStyle w:val="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iMTY1MTU5YmQ2OGVkOWRjNGVhYWZkNjc3MjA3NDEifQ=="/>
  </w:docVars>
  <w:rsids>
    <w:rsidRoot w:val="00A22616"/>
    <w:rsid w:val="000156CA"/>
    <w:rsid w:val="00031F30"/>
    <w:rsid w:val="00053994"/>
    <w:rsid w:val="000712F1"/>
    <w:rsid w:val="00083209"/>
    <w:rsid w:val="00090FDD"/>
    <w:rsid w:val="00103215"/>
    <w:rsid w:val="00135B43"/>
    <w:rsid w:val="00163613"/>
    <w:rsid w:val="00164B8C"/>
    <w:rsid w:val="00165E2E"/>
    <w:rsid w:val="001C78AB"/>
    <w:rsid w:val="001F459F"/>
    <w:rsid w:val="002415BB"/>
    <w:rsid w:val="00245332"/>
    <w:rsid w:val="002517E0"/>
    <w:rsid w:val="0027145C"/>
    <w:rsid w:val="002828F7"/>
    <w:rsid w:val="002B30AC"/>
    <w:rsid w:val="002D18A1"/>
    <w:rsid w:val="002E295A"/>
    <w:rsid w:val="00314229"/>
    <w:rsid w:val="00335241"/>
    <w:rsid w:val="00337477"/>
    <w:rsid w:val="00355FB3"/>
    <w:rsid w:val="0038038F"/>
    <w:rsid w:val="003850D6"/>
    <w:rsid w:val="003D30FA"/>
    <w:rsid w:val="003D6A4D"/>
    <w:rsid w:val="003F4140"/>
    <w:rsid w:val="00403CCA"/>
    <w:rsid w:val="00411EDD"/>
    <w:rsid w:val="00415EEF"/>
    <w:rsid w:val="0045282D"/>
    <w:rsid w:val="004960FE"/>
    <w:rsid w:val="004B01EF"/>
    <w:rsid w:val="00500D14"/>
    <w:rsid w:val="00535647"/>
    <w:rsid w:val="005461D1"/>
    <w:rsid w:val="005828D5"/>
    <w:rsid w:val="00597112"/>
    <w:rsid w:val="005F7443"/>
    <w:rsid w:val="0060477E"/>
    <w:rsid w:val="00612A57"/>
    <w:rsid w:val="00633B39"/>
    <w:rsid w:val="006361A0"/>
    <w:rsid w:val="00694066"/>
    <w:rsid w:val="006C43E2"/>
    <w:rsid w:val="006F16CB"/>
    <w:rsid w:val="006F33E2"/>
    <w:rsid w:val="007303CC"/>
    <w:rsid w:val="00780C22"/>
    <w:rsid w:val="00786C5F"/>
    <w:rsid w:val="0079566A"/>
    <w:rsid w:val="007B125D"/>
    <w:rsid w:val="007B175B"/>
    <w:rsid w:val="007D2D85"/>
    <w:rsid w:val="00813347"/>
    <w:rsid w:val="008257CC"/>
    <w:rsid w:val="00850F14"/>
    <w:rsid w:val="00867386"/>
    <w:rsid w:val="008A7E8F"/>
    <w:rsid w:val="008C7160"/>
    <w:rsid w:val="00990D1E"/>
    <w:rsid w:val="009B4E52"/>
    <w:rsid w:val="009B6A90"/>
    <w:rsid w:val="009F4FCF"/>
    <w:rsid w:val="00A22616"/>
    <w:rsid w:val="00A456E4"/>
    <w:rsid w:val="00A62FB5"/>
    <w:rsid w:val="00A770E4"/>
    <w:rsid w:val="00AA0A35"/>
    <w:rsid w:val="00AE1DB3"/>
    <w:rsid w:val="00AF1E90"/>
    <w:rsid w:val="00AF7894"/>
    <w:rsid w:val="00B41EFC"/>
    <w:rsid w:val="00B51CAD"/>
    <w:rsid w:val="00B62C07"/>
    <w:rsid w:val="00B804B6"/>
    <w:rsid w:val="00BC6E34"/>
    <w:rsid w:val="00C238D7"/>
    <w:rsid w:val="00C733A6"/>
    <w:rsid w:val="00CA2268"/>
    <w:rsid w:val="00CA310A"/>
    <w:rsid w:val="00D50A67"/>
    <w:rsid w:val="00D53CFA"/>
    <w:rsid w:val="00D60AD7"/>
    <w:rsid w:val="00D96D98"/>
    <w:rsid w:val="00DA3FC5"/>
    <w:rsid w:val="00DB37F4"/>
    <w:rsid w:val="00DB3AB6"/>
    <w:rsid w:val="00DB6CA0"/>
    <w:rsid w:val="00E05774"/>
    <w:rsid w:val="00E151C9"/>
    <w:rsid w:val="00E86470"/>
    <w:rsid w:val="00EB0323"/>
    <w:rsid w:val="00EC1EDA"/>
    <w:rsid w:val="00ED40ED"/>
    <w:rsid w:val="00EE6D0E"/>
    <w:rsid w:val="00F71208"/>
    <w:rsid w:val="00F75875"/>
    <w:rsid w:val="00F96EB4"/>
    <w:rsid w:val="00FF162A"/>
    <w:rsid w:val="4699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Droid Sans"/>
      <w:kern w:val="2"/>
      <w:sz w:val="21"/>
      <w:szCs w:val="24"/>
      <w:lang w:val="en-US" w:eastAsia="zh-CN" w:bidi="ar-SA"/>
    </w:rPr>
  </w:style>
  <w:style w:type="paragraph" w:styleId="2">
    <w:name w:val="heading 2"/>
    <w:basedOn w:val="1"/>
    <w:next w:val="1"/>
    <w:link w:val="7"/>
    <w:qFormat/>
    <w:uiPriority w:val="0"/>
    <w:pPr>
      <w:keepNext/>
      <w:keepLines/>
      <w:spacing w:before="100" w:beforeAutospacing="1" w:after="100" w:afterAutospacing="1"/>
      <w:outlineLvl w:val="1"/>
    </w:pPr>
    <w:rPr>
      <w:rFonts w:ascii="Cambria" w:hAnsi="Cambria" w:eastAsia="黑体" w:cs="Times New Roman"/>
      <w:b/>
      <w:bCs/>
      <w:kern w:val="0"/>
      <w:sz w:val="36"/>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rFonts w:cs="Times New Roman"/>
      <w:sz w:val="18"/>
      <w:szCs w:val="20"/>
    </w:rPr>
  </w:style>
  <w:style w:type="character" w:customStyle="1" w:styleId="7">
    <w:name w:val="标题 2 Char"/>
    <w:basedOn w:val="6"/>
    <w:link w:val="2"/>
    <w:qFormat/>
    <w:uiPriority w:val="0"/>
    <w:rPr>
      <w:rFonts w:ascii="Cambria" w:hAnsi="Cambria" w:eastAsia="黑体" w:cs="Times New Roman"/>
      <w:b/>
      <w:bCs/>
      <w:sz w:val="36"/>
      <w:szCs w:val="32"/>
    </w:rPr>
  </w:style>
  <w:style w:type="character" w:customStyle="1" w:styleId="8">
    <w:name w:val="页脚 Char"/>
    <w:basedOn w:val="6"/>
    <w:link w:val="4"/>
    <w:qFormat/>
    <w:uiPriority w:val="99"/>
    <w:rPr>
      <w:rFonts w:ascii="Times New Roman" w:hAnsi="Times New Roman" w:eastAsia="宋体" w:cs="Times New Roman"/>
      <w:kern w:val="2"/>
      <w:sz w:val="18"/>
      <w:szCs w:val="20"/>
    </w:rPr>
  </w:style>
  <w:style w:type="character" w:customStyle="1" w:styleId="9">
    <w:name w:val="批注框文本 Char"/>
    <w:basedOn w:val="6"/>
    <w:link w:val="3"/>
    <w:semiHidden/>
    <w:qFormat/>
    <w:uiPriority w:val="99"/>
    <w:rPr>
      <w:rFonts w:ascii="Times New Roman" w:hAnsi="Times New Roman" w:eastAsia="宋体" w:cs="Droid Sans"/>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5105;&#30340;&#25991;&#26723;\23&#24180;&#39044;&#31639;&#20844;&#24320;&#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5105;&#30340;&#25991;&#26723;\23&#24180;&#39044;&#31639;&#20844;&#24320;&#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a:t>收入预算</a:t>
            </a:r>
            <a:endParaRPr lang="zh-CN" altLang="en-US" sz="1600"/>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Lbls>
            <c:dLbl>
              <c:idx val="3"/>
              <c:layout>
                <c:manualLayout>
                  <c:x val="0.0246196412948381"/>
                  <c:y val="0.012682997958588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Sheet1!$A$3:$A$6</c:f>
              <c:strCache>
                <c:ptCount val="4"/>
                <c:pt idx="0">
                  <c:v>一般公共预算拨款收入</c:v>
                </c:pt>
                <c:pt idx="1">
                  <c:v>财政专户管理资金收入</c:v>
                </c:pt>
                <c:pt idx="2">
                  <c:v>事业单位经营收入</c:v>
                </c:pt>
                <c:pt idx="3">
                  <c:v>其他收入</c:v>
                </c:pt>
              </c:strCache>
            </c:strRef>
          </c:cat>
          <c:val>
            <c:numRef>
              <c:f>Sheet1!$B$3:$B$6</c:f>
              <c:numCache>
                <c:formatCode>General</c:formatCode>
                <c:ptCount val="4"/>
                <c:pt idx="0">
                  <c:v>5620.5</c:v>
                </c:pt>
                <c:pt idx="1">
                  <c:v>353.72</c:v>
                </c:pt>
                <c:pt idx="2">
                  <c:v>12.3</c:v>
                </c:pt>
                <c:pt idx="3">
                  <c:v>176.55</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a:t>基本支出和项目支出情况</a:t>
            </a:r>
            <a:endParaRPr lang="zh-CN" altLang="en-US" sz="1600"/>
          </a:p>
        </c:rich>
      </c:tx>
      <c:layout/>
      <c:overlay val="0"/>
    </c:title>
    <c:autoTitleDeleted val="0"/>
    <c:plotArea>
      <c:layout/>
      <c:pieChart>
        <c:varyColors val="1"/>
        <c:ser>
          <c:idx val="0"/>
          <c:order val="0"/>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Sheet1!$A$30:$A$31</c:f>
              <c:strCache>
                <c:ptCount val="2"/>
                <c:pt idx="0">
                  <c:v>基本支出</c:v>
                </c:pt>
                <c:pt idx="1">
                  <c:v>项目支出</c:v>
                </c:pt>
              </c:strCache>
            </c:strRef>
          </c:cat>
          <c:val>
            <c:numRef>
              <c:f>Sheet1!$B$30:$B$31</c:f>
              <c:numCache>
                <c:formatCode>General</c:formatCode>
                <c:ptCount val="2"/>
                <c:pt idx="0">
                  <c:v>5669.02</c:v>
                </c:pt>
                <c:pt idx="1">
                  <c:v>494.05</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2593</Words>
  <Characters>2953</Characters>
  <Lines>22</Lines>
  <Paragraphs>6</Paragraphs>
  <TotalTime>139</TotalTime>
  <ScaleCrop>false</ScaleCrop>
  <LinksUpToDate>false</LinksUpToDate>
  <CharactersWithSpaces>2980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2023-02-15T01:51:00Z</dcterms:created>
  <dc:creator>Administrator</dc:creator>
  <cp:lastModifiedBy>Administrator</cp:lastModifiedBy>
  <dcterms:modified xsi:type="dcterms:W3CDTF">2023-03-01T03:40:53Z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BA617421905247A6A54593DC4C775BDA</vt:lpwstr>
  </property>
</Properties>
</file>